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color w:val="1F3864"/>
          <w:sz w:val="32"/>
        </w:rPr>
        <w:t>North Dallas Project - Decision Record</w:t>
      </w:r>
    </w:p>
    <w:p>
      <w:pPr>
        <w:spacing w:after="160" w:before="0"/>
      </w:pPr>
      <w:r>
        <w:rPr>
          <w:b w:val="0"/>
          <w:color w:val="595959"/>
          <w:sz w:val="18"/>
        </w:rPr>
        <w:t>11.4 acres, north McKinney, Texas (ZIP 75071)  |  41 or 37 detached homes  |  Version 2, August 29, 2026</w:t>
      </w:r>
    </w:p>
    <w:p>
      <w:pPr>
        <w:spacing w:after="60" w:before="140"/>
      </w:pPr>
      <w:r>
        <w:rPr>
          <w:b/>
          <w:color w:val="1F3864"/>
          <w:sz w:val="24"/>
        </w:rPr>
        <w:t>The decision</w:t>
      </w:r>
    </w:p>
    <w:p>
      <w:pPr>
        <w:spacing w:after="120" w:before="0"/>
      </w:pPr>
      <w:r>
        <w:rPr>
          <w:b w:val="0"/>
          <w:sz w:val="19"/>
        </w:rPr>
        <w:t>Whether to proceed to hard money at the letter-of-intent price, reprice the offer, or release the contract. The feasibility period expires September 30, 2026; thirty-two days remain. The near-term gate is the lot-width decision on September 8, which fixes lot count, land basis per lot, and price position.</w:t>
      </w:r>
    </w:p>
    <w:p>
      <w:pPr>
        <w:spacing w:after="60" w:before="140"/>
      </w:pPr>
      <w:r>
        <w:rPr>
          <w:b/>
          <w:color w:val="1F3864"/>
          <w:sz w:val="24"/>
        </w:rPr>
        <w:t>What changed since Version 1</w:t>
      </w:r>
    </w:p>
    <w:p>
      <w:pPr>
        <w:pStyle w:val="ListBullet"/>
        <w:spacing w:after="30"/>
      </w:pPr>
      <w:r>
        <w:rPr>
          <w:b/>
          <w:sz w:val="18"/>
        </w:rPr>
        <w:t>The bank replied.</w:t>
      </w:r>
      <w:r>
        <w:rPr>
          <w:b w:val="0"/>
          <w:sz w:val="18"/>
        </w:rPr>
        <w:t xml:space="preserve"> The lender credit team set committee for September 15 and returned four conditions before the file can be tabled: show segment depth separately from the aggregate ZIP; name the communities in 75071 that actually held three net sales a month and at what price; run two sales a month with incentives, cost inflation, and a higher rate moving together; and defend the $103 per square foot direct cost against published Dallas guides. Credit also directed that the equity plan not be built on the assumed 65% and 80% advance rates.</w:t>
      </w:r>
    </w:p>
    <w:p>
      <w:pPr>
        <w:pStyle w:val="ListBullet"/>
        <w:spacing w:after="30"/>
      </w:pPr>
      <w:r>
        <w:rPr>
          <w:b/>
          <w:sz w:val="18"/>
        </w:rPr>
        <w:t>The downside case has been re-run on the monthly engine</w:t>
      </w:r>
      <w:r>
        <w:rPr>
          <w:b w:val="0"/>
          <w:sz w:val="18"/>
        </w:rPr>
        <w:t xml:space="preserve"> rather than summarized. At 2.0 net sales a month, an $18,000 incentive, 5% vertical cost inflation, and a 9.0% all-in rate: gross margin 17.0%, net profit negative $40,712, peak builder equity $2,498,906, peak capital at risk $6,869,038 in December 2027, total interest $537,096 against $433,533 in the base case, and last closing July 2029 at 33 months.</w:t>
      </w:r>
    </w:p>
    <w:p>
      <w:pPr>
        <w:pStyle w:val="ListBullet"/>
        <w:spacing w:after="30"/>
      </w:pPr>
      <w:r>
        <w:rPr>
          <w:b/>
          <w:sz w:val="18"/>
        </w:rPr>
        <w:t>The advance-rate trigger is now quantified.</w:t>
      </w:r>
      <w:r>
        <w:rPr>
          <w:b w:val="0"/>
          <w:sz w:val="18"/>
        </w:rPr>
        <w:t xml:space="preserve"> Every five points off the assumed rates adds roughly $335,000 of builder equity: $2,671,104 at 65/80, $3,005,259 at 60/75, $3,339,414 at 55/70. The tested 60/75 case remains below the $3.2M threshold; the tested 55/70 case does not.</w:t>
      </w:r>
    </w:p>
    <w:p>
      <w:pPr>
        <w:pStyle w:val="ListBullet"/>
        <w:spacing w:after="30"/>
      </w:pPr>
      <w:r>
        <w:rPr>
          <w:b/>
          <w:sz w:val="18"/>
        </w:rPr>
        <w:t>A liquidity gap was found in the model.</w:t>
      </w:r>
      <w:r>
        <w:rPr>
          <w:b w:val="0"/>
          <w:sz w:val="18"/>
        </w:rPr>
        <w:t xml:space="preserve"> The monthly engine funds cash to exactly zero for the first fourteen months and calls equity to do it. The $250,000 minimum-cash input is not enforced in the schedule, so the liquidity floor sits on top of peak equity rather than inside it. True base-case equity requirement is approximately $2.92M.</w:t>
      </w:r>
    </w:p>
    <w:p>
      <w:pPr>
        <w:pStyle w:val="ListBullet"/>
        <w:spacing w:after="30"/>
      </w:pPr>
      <w:r>
        <w:rPr>
          <w:b/>
          <w:sz w:val="18"/>
        </w:rPr>
        <w:t>Nothing has moved in the field.</w:t>
      </w:r>
      <w:r>
        <w:rPr>
          <w:b w:val="0"/>
          <w:sz w:val="18"/>
        </w:rPr>
        <w:t xml:space="preserve"> No entry in the shared company work history references this project other than the August 29 file drop. Plan fit, zoning and setbacks, and the geotechnical order all still read Not started. The September 4 geotechnical date is six days out.</w:t>
      </w:r>
    </w:p>
    <w:p>
      <w:pPr>
        <w:spacing w:after="60" w:before="140"/>
      </w:pPr>
      <w:r>
        <w:rPr>
          <w:b/>
          <w:color w:val="1F3864"/>
          <w:sz w:val="24"/>
        </w:rPr>
        <w:t>Where the deal stands</w:t>
      </w:r>
    </w:p>
    <w:tbl>
      <w:tblPr>
        <w:tblStyle w:val="TableGrid"/>
        <w:tblW w:type="auto" w:w="0"/>
        <w:tblLayout w:type="fixed"/>
        <w:tblLook w:firstColumn="1" w:firstRow="1" w:lastColumn="0" w:lastRow="0" w:noHBand="0" w:noVBand="1" w:val="04A0"/>
      </w:tblPr>
      <w:tblGrid>
        <w:gridCol w:w="4968"/>
        <w:gridCol w:w="4968"/>
      </w:tblGrid>
      <w:tr>
        <w:tc>
          <w:tcPr>
            <w:tcW w:type="dxa" w:w="1512"/>
          </w:tcPr>
          <w:p>
            <w:pPr>
              <w:spacing w:after="20" w:before="20"/>
            </w:pPr>
            <w:r>
              <w:rPr>
                <w:b/>
                <w:color w:val="1F3864"/>
                <w:sz w:val="16"/>
              </w:rPr>
              <w:t>Item</w:t>
            </w:r>
          </w:p>
        </w:tc>
        <w:tc>
          <w:tcPr>
            <w:tcW w:type="dxa" w:w="8136"/>
          </w:tcPr>
          <w:p>
            <w:pPr>
              <w:spacing w:after="20" w:before="20"/>
            </w:pPr>
            <w:r>
              <w:rPr>
                <w:b/>
                <w:color w:val="1F3864"/>
                <w:sz w:val="16"/>
              </w:rPr>
              <w:t>Status</w:t>
            </w:r>
          </w:p>
        </w:tc>
      </w:tr>
      <w:tr>
        <w:tc>
          <w:tcPr>
            <w:tcW w:type="dxa" w:w="1512"/>
          </w:tcPr>
          <w:p>
            <w:pPr>
              <w:spacing w:after="20" w:before="20"/>
            </w:pPr>
            <w:r>
              <w:rPr>
                <w:sz w:val="16"/>
              </w:rPr>
              <w:t>Letter of intent</w:t>
            </w:r>
          </w:p>
        </w:tc>
        <w:tc>
          <w:tcPr>
            <w:tcW w:type="dxa" w:w="8136"/>
          </w:tcPr>
          <w:p>
            <w:pPr>
              <w:spacing w:after="20" w:before="20"/>
            </w:pPr>
            <w:r>
              <w:rPr>
                <w:sz w:val="16"/>
              </w:rPr>
              <w:t>Executed August 14, 2026. Forty-five day feasibility. Earnest money refundable through September 30.</w:t>
            </w:r>
          </w:p>
        </w:tc>
      </w:tr>
      <w:tr>
        <w:tc>
          <w:tcPr>
            <w:tcW w:type="dxa" w:w="1512"/>
          </w:tcPr>
          <w:p>
            <w:pPr>
              <w:spacing w:after="20" w:before="20"/>
            </w:pPr>
            <w:r>
              <w:rPr>
                <w:sz w:val="16"/>
              </w:rPr>
              <w:t>Purchase price</w:t>
            </w:r>
          </w:p>
        </w:tc>
        <w:tc>
          <w:tcPr>
            <w:tcW w:type="dxa" w:w="8136"/>
          </w:tcPr>
          <w:p>
            <w:pPr>
              <w:spacing w:after="20" w:before="20"/>
            </w:pPr>
            <w:r>
              <w:rPr>
                <w:sz w:val="16"/>
              </w:rPr>
              <w:t>$1,653,000, or $145,000 per gross acre. $413,460 above residual at a 20% finished-lot ratio.</w:t>
            </w:r>
          </w:p>
        </w:tc>
      </w:tr>
      <w:tr>
        <w:tc>
          <w:tcPr>
            <w:tcW w:type="dxa" w:w="1512"/>
          </w:tcPr>
          <w:p>
            <w:pPr>
              <w:spacing w:after="20" w:before="20"/>
            </w:pPr>
            <w:r>
              <w:rPr>
                <w:sz w:val="16"/>
              </w:rPr>
              <w:t>Program</w:t>
            </w:r>
          </w:p>
        </w:tc>
        <w:tc>
          <w:tcPr>
            <w:tcW w:type="dxa" w:w="8136"/>
          </w:tcPr>
          <w:p>
            <w:pPr>
              <w:spacing w:after="20" w:before="20"/>
            </w:pPr>
            <w:r>
              <w:rPr>
                <w:sz w:val="16"/>
              </w:rPr>
              <w:t>41 homes on 55 x 120 lots, or 37 on 60 x 130. Three single-story plans at 1,950, 2,150, 2,300 sq ft.</w:t>
            </w:r>
          </w:p>
        </w:tc>
      </w:tr>
      <w:tr>
        <w:tc>
          <w:tcPr>
            <w:tcW w:type="dxa" w:w="1512"/>
          </w:tcPr>
          <w:p>
            <w:pPr>
              <w:spacing w:after="20" w:before="20"/>
            </w:pPr>
            <w:r>
              <w:rPr>
                <w:sz w:val="16"/>
              </w:rPr>
              <w:t>Price position</w:t>
            </w:r>
          </w:p>
        </w:tc>
        <w:tc>
          <w:tcPr>
            <w:tcW w:type="dxa" w:w="8136"/>
          </w:tcPr>
          <w:p>
            <w:pPr>
              <w:spacing w:after="20" w:before="20"/>
            </w:pPr>
            <w:r>
              <w:rPr>
                <w:sz w:val="16"/>
              </w:rPr>
              <w:t>Weighted average base $403,680. Average closing $425,680, 3.7% below the pooled market centre of $441,827.</w:t>
            </w:r>
          </w:p>
        </w:tc>
      </w:tr>
      <w:tr>
        <w:tc>
          <w:tcPr>
            <w:tcW w:type="dxa" w:w="1512"/>
          </w:tcPr>
          <w:p>
            <w:pPr>
              <w:spacing w:after="20" w:before="20"/>
            </w:pPr>
            <w:r>
              <w:rPr>
                <w:sz w:val="16"/>
              </w:rPr>
              <w:t>Underwriting</w:t>
            </w:r>
          </w:p>
        </w:tc>
        <w:tc>
          <w:tcPr>
            <w:tcW w:type="dxa" w:w="8136"/>
          </w:tcPr>
          <w:p>
            <w:pPr>
              <w:spacing w:after="20" w:before="20"/>
            </w:pPr>
            <w:r>
              <w:rPr>
                <w:sz w:val="16"/>
              </w:rPr>
              <w:t>Base case: 21.6% gross margin, 6.6% net margin, $17.1M revenue, 27 months, peak builder equity $2,671,104.</w:t>
            </w:r>
          </w:p>
        </w:tc>
      </w:tr>
      <w:tr>
        <w:tc>
          <w:tcPr>
            <w:tcW w:type="dxa" w:w="1512"/>
          </w:tcPr>
          <w:p>
            <w:pPr>
              <w:spacing w:after="20" w:before="20"/>
            </w:pPr>
            <w:r>
              <w:rPr>
                <w:sz w:val="16"/>
              </w:rPr>
              <w:t>Financing</w:t>
            </w:r>
          </w:p>
        </w:tc>
        <w:tc>
          <w:tcPr>
            <w:tcW w:type="dxa" w:w="8136"/>
          </w:tcPr>
          <w:p>
            <w:pPr>
              <w:spacing w:after="20" w:before="20"/>
            </w:pPr>
            <w:r>
              <w:rPr>
                <w:sz w:val="16"/>
              </w:rPr>
              <w:t>No term sheet. Committee September 15. Both facilities still modeled from assumed advance rates.</w:t>
            </w:r>
          </w:p>
        </w:tc>
      </w:tr>
      <w:tr>
        <w:tc>
          <w:tcPr>
            <w:tcW w:type="dxa" w:w="1512"/>
          </w:tcPr>
          <w:p>
            <w:pPr>
              <w:spacing w:after="20" w:before="20"/>
            </w:pPr>
            <w:r>
              <w:rPr>
                <w:sz w:val="16"/>
              </w:rPr>
              <w:t>Diligence</w:t>
            </w:r>
          </w:p>
        </w:tc>
        <w:tc>
          <w:tcPr>
            <w:tcW w:type="dxa" w:w="8136"/>
          </w:tcPr>
          <w:p>
            <w:pPr>
              <w:spacing w:after="20" w:before="20"/>
            </w:pPr>
            <w:r>
              <w:rPr>
                <w:sz w:val="16"/>
              </w:rPr>
              <w:t>Nothing ordered. No survey, geotechnical, environmental, appraisal, or engineered yield plan.</w:t>
            </w:r>
          </w:p>
        </w:tc>
      </w:tr>
    </w:tbl>
    <w:p>
      <w:pPr>
        <w:spacing w:after="60" w:before="140"/>
      </w:pPr>
      <w:r>
        <w:rPr>
          <w:b/>
          <w:color w:val="1F3864"/>
          <w:sz w:val="24"/>
        </w:rPr>
        <w:t>The decision that cannot be deferred</w:t>
      </w:r>
    </w:p>
    <w:p>
      <w:pPr>
        <w:spacing w:after="120" w:before="0"/>
      </w:pPr>
      <w:r>
        <w:rPr>
          <w:b w:val="0"/>
          <w:sz w:val="19"/>
        </w:rPr>
        <w:t>Lot width, September 8. The 55-foot program produces $301,000 more gross profit on the same acreage and prices below the market centre; the 60-foot program prices at $446,792, into the band where the study area already carries the most competition. The 55-foot program is preferred on both counts and is only real if the three plans fit inside roughly 45 feet of building width after side setbacks.</w:t>
      </w:r>
    </w:p>
    <w:p>
      <w:pPr>
        <w:spacing w:after="120" w:before="0"/>
      </w:pPr>
      <w:r>
        <w:rPr>
          <w:b w:val="0"/>
          <w:sz w:val="19"/>
        </w:rPr>
        <w:t>Both branches end in the same place. At 55 feet the finished lot is 22% of net revenue and the letter of intent sits $413,460 above residual. At 60 feet it is 23% and the 37-lot program needs roughly $180,000 off the land price to hold the same margin. The plan-fit study does not decide whether to reprice the parcel. It decides how much to ask for. September 8 is the day the number going back to the seller gets set, not the day a program gets chosen.</w:t>
      </w:r>
    </w:p>
    <w:p>
      <w:pPr>
        <w:spacing w:after="60" w:before="140"/>
      </w:pPr>
      <w:r>
        <w:rPr>
          <w:b/>
          <w:color w:val="1F3864"/>
          <w:sz w:val="24"/>
        </w:rPr>
        <w:t>What needs a decision this week</w:t>
      </w:r>
    </w:p>
    <w:p>
      <w:pPr>
        <w:spacing w:after="120" w:before="0"/>
      </w:pPr>
      <w:r>
        <w:rPr>
          <w:b w:val="0"/>
          <w:sz w:val="19"/>
        </w:rPr>
        <w:t>Whether to authorize the diligence spend now, or hold it and open the price conversation with the seller first. Earnest money is refundable through September 30; diligence dollars are not. Plan fit, setbacks, and engineered yield cannot be produced by analysis, and they are the only path to a lot count that is real.</w:t>
      </w:r>
    </w:p>
    <w:p>
      <w:pPr>
        <w:spacing w:after="120" w:before="0"/>
      </w:pPr>
      <w:r>
        <w:rPr>
          <w:b/>
          <w:sz w:val="19"/>
        </w:rPr>
        <w:t>Recommendation.</w:t>
      </w:r>
      <w:r>
        <w:rPr>
          <w:b w:val="0"/>
          <w:sz w:val="19"/>
        </w:rPr>
        <w:t xml:space="preserve"> Authorize the plan-fit, setback, and preliminary yield work immediately: it is the cheapest of the four diligence items and the only one that gates September 8. Hold the geotechnical order until the seller conversation is open, since its cost is not recoverable and its finding cannot change the price ask before that ask is made. Request indicative advance rates and a release price from credit before September 8 so the program is fixed against a known equity number rather than an assumed one.</w:t>
      </w:r>
    </w:p>
    <w:p>
      <w:pPr>
        <w:spacing w:after="60" w:before="140"/>
      </w:pPr>
      <w:r>
        <w:rPr>
          <w:b/>
          <w:color w:val="1F3864"/>
          <w:sz w:val="24"/>
        </w:rPr>
        <w:t>Open items</w:t>
      </w:r>
    </w:p>
    <w:tbl>
      <w:tblPr>
        <w:tblStyle w:val="TableGrid"/>
        <w:tblW w:type="auto" w:w="0"/>
        <w:tblLayout w:type="fixed"/>
        <w:tblLook w:firstColumn="1" w:firstRow="1" w:lastColumn="0" w:lastRow="0" w:noHBand="0" w:noVBand="1" w:val="04A0"/>
      </w:tblPr>
      <w:tblGrid>
        <w:gridCol w:w="2484"/>
        <w:gridCol w:w="2484"/>
        <w:gridCol w:w="2484"/>
        <w:gridCol w:w="2484"/>
      </w:tblGrid>
      <w:tr>
        <w:tc>
          <w:tcPr>
            <w:tcW w:type="dxa" w:w="4752"/>
          </w:tcPr>
          <w:p>
            <w:pPr>
              <w:spacing w:after="20" w:before="20"/>
            </w:pPr>
            <w:r>
              <w:rPr>
                <w:b/>
                <w:color w:val="1F3864"/>
                <w:sz w:val="16"/>
              </w:rPr>
              <w:t>Item</w:t>
            </w:r>
          </w:p>
        </w:tc>
        <w:tc>
          <w:tcPr>
            <w:tcW w:type="dxa" w:w="893"/>
          </w:tcPr>
          <w:p>
            <w:pPr>
              <w:spacing w:after="20" w:before="20"/>
            </w:pPr>
            <w:r>
              <w:rPr>
                <w:b/>
                <w:color w:val="1F3864"/>
                <w:sz w:val="16"/>
              </w:rPr>
              <w:t>Owner</w:t>
            </w:r>
          </w:p>
        </w:tc>
        <w:tc>
          <w:tcPr>
            <w:tcW w:type="dxa" w:w="691"/>
          </w:tcPr>
          <w:p>
            <w:pPr>
              <w:spacing w:after="20" w:before="20"/>
            </w:pPr>
            <w:r>
              <w:rPr>
                <w:b/>
                <w:color w:val="1F3864"/>
                <w:sz w:val="16"/>
              </w:rPr>
              <w:t>Due</w:t>
            </w:r>
          </w:p>
        </w:tc>
        <w:tc>
          <w:tcPr>
            <w:tcW w:type="dxa" w:w="3312"/>
          </w:tcPr>
          <w:p>
            <w:pPr>
              <w:spacing w:after="20" w:before="20"/>
            </w:pPr>
            <w:r>
              <w:rPr>
                <w:b/>
                <w:color w:val="1F3864"/>
                <w:sz w:val="16"/>
              </w:rPr>
              <w:t>Status</w:t>
            </w:r>
          </w:p>
        </w:tc>
      </w:tr>
      <w:tr>
        <w:tc>
          <w:tcPr>
            <w:tcW w:type="dxa" w:w="4752"/>
          </w:tcPr>
          <w:p>
            <w:pPr>
              <w:spacing w:after="20" w:before="20"/>
            </w:pPr>
            <w:r>
              <w:rPr>
                <w:sz w:val="16"/>
              </w:rPr>
              <w:t>Plan-fit study: confirm the three plans fit a 55-foot lot after setbacks</w:t>
            </w:r>
          </w:p>
        </w:tc>
        <w:tc>
          <w:tcPr>
            <w:tcW w:type="dxa" w:w="893"/>
          </w:tcPr>
          <w:p>
            <w:pPr>
              <w:spacing w:after="20" w:before="20"/>
            </w:pPr>
            <w:r>
              <w:rPr>
                <w:sz w:val="16"/>
              </w:rPr>
              <w:t>Development lead</w:t>
            </w:r>
          </w:p>
        </w:tc>
        <w:tc>
          <w:tcPr>
            <w:tcW w:type="dxa" w:w="691"/>
          </w:tcPr>
          <w:p>
            <w:pPr>
              <w:spacing w:after="20" w:before="20"/>
            </w:pPr>
            <w:r>
              <w:rPr>
                <w:sz w:val="16"/>
              </w:rPr>
              <w:t>Sep 8</w:t>
            </w:r>
          </w:p>
        </w:tc>
        <w:tc>
          <w:tcPr>
            <w:tcW w:type="dxa" w:w="3312"/>
          </w:tcPr>
          <w:p>
            <w:pPr>
              <w:spacing w:after="20" w:before="20"/>
            </w:pPr>
            <w:r>
              <w:rPr>
                <w:sz w:val="16"/>
              </w:rPr>
              <w:t>Not started. Gates the lot-width decision.</w:t>
            </w:r>
          </w:p>
        </w:tc>
      </w:tr>
      <w:tr>
        <w:tc>
          <w:tcPr>
            <w:tcW w:type="dxa" w:w="4752"/>
          </w:tcPr>
          <w:p>
            <w:pPr>
              <w:spacing w:after="20" w:before="20"/>
            </w:pPr>
            <w:r>
              <w:rPr>
                <w:sz w:val="16"/>
              </w:rPr>
              <w:t>Confirm zoning district, setbacks, and whether 41 lots survive detention and right-of-way</w:t>
            </w:r>
          </w:p>
        </w:tc>
        <w:tc>
          <w:tcPr>
            <w:tcW w:type="dxa" w:w="893"/>
          </w:tcPr>
          <w:p>
            <w:pPr>
              <w:spacing w:after="20" w:before="20"/>
            </w:pPr>
            <w:r>
              <w:rPr>
                <w:sz w:val="16"/>
              </w:rPr>
              <w:t>Development lead</w:t>
            </w:r>
          </w:p>
        </w:tc>
        <w:tc>
          <w:tcPr>
            <w:tcW w:type="dxa" w:w="691"/>
          </w:tcPr>
          <w:p>
            <w:pPr>
              <w:spacing w:after="20" w:before="20"/>
            </w:pPr>
            <w:r>
              <w:rPr>
                <w:sz w:val="16"/>
              </w:rPr>
              <w:t>Sep 8</w:t>
            </w:r>
          </w:p>
        </w:tc>
        <w:tc>
          <w:tcPr>
            <w:tcW w:type="dxa" w:w="3312"/>
          </w:tcPr>
          <w:p>
            <w:pPr>
              <w:spacing w:after="20" w:before="20"/>
            </w:pPr>
            <w:r>
              <w:rPr>
                <w:sz w:val="16"/>
              </w:rPr>
              <w:t>Not started. Gates the lot-width decision.</w:t>
            </w:r>
          </w:p>
        </w:tc>
      </w:tr>
      <w:tr>
        <w:tc>
          <w:tcPr>
            <w:tcW w:type="dxa" w:w="4752"/>
          </w:tcPr>
          <w:p>
            <w:pPr>
              <w:spacing w:after="20" w:before="20"/>
            </w:pPr>
            <w:r>
              <w:rPr>
                <w:sz w:val="16"/>
              </w:rPr>
              <w:t>Order geotechnical and environmental reports</w:t>
            </w:r>
          </w:p>
        </w:tc>
        <w:tc>
          <w:tcPr>
            <w:tcW w:type="dxa" w:w="893"/>
          </w:tcPr>
          <w:p>
            <w:pPr>
              <w:spacing w:after="20" w:before="20"/>
            </w:pPr>
            <w:r>
              <w:rPr>
                <w:sz w:val="16"/>
              </w:rPr>
              <w:t>Development lead</w:t>
            </w:r>
          </w:p>
        </w:tc>
        <w:tc>
          <w:tcPr>
            <w:tcW w:type="dxa" w:w="691"/>
          </w:tcPr>
          <w:p>
            <w:pPr>
              <w:spacing w:after="20" w:before="20"/>
            </w:pPr>
            <w:r>
              <w:rPr>
                <w:sz w:val="16"/>
              </w:rPr>
              <w:t>Sep 4</w:t>
            </w:r>
          </w:p>
        </w:tc>
        <w:tc>
          <w:tcPr>
            <w:tcW w:type="dxa" w:w="3312"/>
          </w:tcPr>
          <w:p>
            <w:pPr>
              <w:spacing w:after="20" w:before="20"/>
            </w:pPr>
            <w:r>
              <w:rPr>
                <w:sz w:val="16"/>
              </w:rPr>
              <w:t>Not started. Six days out.</w:t>
            </w:r>
          </w:p>
        </w:tc>
      </w:tr>
      <w:tr>
        <w:tc>
          <w:tcPr>
            <w:tcW w:type="dxa" w:w="4752"/>
          </w:tcPr>
          <w:p>
            <w:pPr>
              <w:spacing w:after="20" w:before="20"/>
            </w:pPr>
            <w:r>
              <w:rPr>
                <w:sz w:val="16"/>
              </w:rPr>
              <w:t>Confirm McKinney roadway impact fee service area and water and wastewater capacity</w:t>
            </w:r>
          </w:p>
        </w:tc>
        <w:tc>
          <w:tcPr>
            <w:tcW w:type="dxa" w:w="893"/>
          </w:tcPr>
          <w:p>
            <w:pPr>
              <w:spacing w:after="20" w:before="20"/>
            </w:pPr>
            <w:r>
              <w:rPr>
                <w:sz w:val="16"/>
              </w:rPr>
              <w:t>Development lead</w:t>
            </w:r>
          </w:p>
        </w:tc>
        <w:tc>
          <w:tcPr>
            <w:tcW w:type="dxa" w:w="691"/>
          </w:tcPr>
          <w:p>
            <w:pPr>
              <w:spacing w:after="20" w:before="20"/>
            </w:pPr>
            <w:r>
              <w:rPr>
                <w:sz w:val="16"/>
              </w:rPr>
              <w:t>Sep 11</w:t>
            </w:r>
          </w:p>
        </w:tc>
        <w:tc>
          <w:tcPr>
            <w:tcW w:type="dxa" w:w="3312"/>
          </w:tcPr>
          <w:p>
            <w:pPr>
              <w:spacing w:after="20" w:before="20"/>
            </w:pPr>
            <w:r>
              <w:rPr>
                <w:sz w:val="16"/>
              </w:rPr>
              <w:t>Not started. $14,000 per lot is a midpoint.</w:t>
            </w:r>
          </w:p>
        </w:tc>
      </w:tr>
      <w:tr>
        <w:tc>
          <w:tcPr>
            <w:tcW w:type="dxa" w:w="4752"/>
          </w:tcPr>
          <w:p>
            <w:pPr>
              <w:spacing w:after="20" w:before="20"/>
            </w:pPr>
            <w:r>
              <w:rPr>
                <w:sz w:val="16"/>
              </w:rPr>
              <w:t>Answer the four credit questions before committee</w:t>
            </w:r>
          </w:p>
        </w:tc>
        <w:tc>
          <w:tcPr>
            <w:tcW w:type="dxa" w:w="893"/>
          </w:tcPr>
          <w:p>
            <w:pPr>
              <w:spacing w:after="20" w:before="20"/>
            </w:pPr>
            <w:r>
              <w:rPr>
                <w:sz w:val="16"/>
              </w:rPr>
              <w:t>Deal lead</w:t>
            </w:r>
          </w:p>
        </w:tc>
        <w:tc>
          <w:tcPr>
            <w:tcW w:type="dxa" w:w="691"/>
          </w:tcPr>
          <w:p>
            <w:pPr>
              <w:spacing w:after="20" w:before="20"/>
            </w:pPr>
            <w:r>
              <w:rPr>
                <w:sz w:val="16"/>
              </w:rPr>
              <w:t>Sep 8</w:t>
            </w:r>
          </w:p>
        </w:tc>
        <w:tc>
          <w:tcPr>
            <w:tcW w:type="dxa" w:w="3312"/>
          </w:tcPr>
          <w:p>
            <w:pPr>
              <w:spacing w:after="20" w:before="20"/>
            </w:pPr>
            <w:r>
              <w:rPr>
                <w:sz w:val="16"/>
              </w:rPr>
              <w:t>Reply drafted Aug 29, awaiting approval.</w:t>
            </w:r>
          </w:p>
        </w:tc>
      </w:tr>
      <w:tr>
        <w:tc>
          <w:tcPr>
            <w:tcW w:type="dxa" w:w="4752"/>
          </w:tcPr>
          <w:p>
            <w:pPr>
              <w:spacing w:after="20" w:before="20"/>
            </w:pPr>
            <w:r>
              <w:rPr>
                <w:sz w:val="16"/>
              </w:rPr>
              <w:t>Lender term sheet: advance rates, release price, covenants, guarantees</w:t>
            </w:r>
          </w:p>
        </w:tc>
        <w:tc>
          <w:tcPr>
            <w:tcW w:type="dxa" w:w="893"/>
          </w:tcPr>
          <w:p>
            <w:pPr>
              <w:spacing w:after="20" w:before="20"/>
            </w:pPr>
            <w:r>
              <w:rPr>
                <w:sz w:val="16"/>
              </w:rPr>
              <w:t>Deal lead</w:t>
            </w:r>
          </w:p>
        </w:tc>
        <w:tc>
          <w:tcPr>
            <w:tcW w:type="dxa" w:w="691"/>
          </w:tcPr>
          <w:p>
            <w:pPr>
              <w:spacing w:after="20" w:before="20"/>
            </w:pPr>
            <w:r>
              <w:rPr>
                <w:sz w:val="16"/>
              </w:rPr>
              <w:t>Sep 15</w:t>
            </w:r>
          </w:p>
        </w:tc>
        <w:tc>
          <w:tcPr>
            <w:tcW w:type="dxa" w:w="3312"/>
          </w:tcPr>
          <w:p>
            <w:pPr>
              <w:spacing w:after="20" w:before="20"/>
            </w:pPr>
            <w:r>
              <w:rPr>
                <w:sz w:val="16"/>
              </w:rPr>
              <w:t>Sent Aug 27. Indicative rates requested by Sep 8.</w:t>
            </w:r>
          </w:p>
        </w:tc>
      </w:tr>
      <w:tr>
        <w:tc>
          <w:tcPr>
            <w:tcW w:type="dxa" w:w="4752"/>
          </w:tcPr>
          <w:p>
            <w:pPr>
              <w:spacing w:after="20" w:before="20"/>
            </w:pPr>
            <w:r>
              <w:rPr>
                <w:sz w:val="16"/>
              </w:rPr>
              <w:t>Obtain three site contractor budgets for the horizontal work</w:t>
            </w:r>
          </w:p>
        </w:tc>
        <w:tc>
          <w:tcPr>
            <w:tcW w:type="dxa" w:w="893"/>
          </w:tcPr>
          <w:p>
            <w:pPr>
              <w:spacing w:after="20" w:before="20"/>
            </w:pPr>
            <w:r>
              <w:rPr>
                <w:sz w:val="16"/>
              </w:rPr>
              <w:t>Deal lead</w:t>
            </w:r>
          </w:p>
        </w:tc>
        <w:tc>
          <w:tcPr>
            <w:tcW w:type="dxa" w:w="691"/>
          </w:tcPr>
          <w:p>
            <w:pPr>
              <w:spacing w:after="20" w:before="20"/>
            </w:pPr>
            <w:r>
              <w:rPr>
                <w:sz w:val="16"/>
              </w:rPr>
              <w:t>Sep 18</w:t>
            </w:r>
          </w:p>
        </w:tc>
        <w:tc>
          <w:tcPr>
            <w:tcW w:type="dxa" w:w="3312"/>
          </w:tcPr>
          <w:p>
            <w:pPr>
              <w:spacing w:after="20" w:before="20"/>
            </w:pPr>
            <w:r>
              <w:rPr>
                <w:sz w:val="16"/>
              </w:rPr>
              <w:t>Not started. Cannot be scoped until lot count is fixed.</w:t>
            </w:r>
          </w:p>
        </w:tc>
      </w:tr>
      <w:tr>
        <w:tc>
          <w:tcPr>
            <w:tcW w:type="dxa" w:w="4752"/>
          </w:tcPr>
          <w:p>
            <w:pPr>
              <w:spacing w:after="20" w:before="20"/>
            </w:pPr>
            <w:r>
              <w:rPr>
                <w:sz w:val="16"/>
              </w:rPr>
              <w:t>Obtain trade pricing to replace the $103 per square foot placeholder</w:t>
            </w:r>
          </w:p>
        </w:tc>
        <w:tc>
          <w:tcPr>
            <w:tcW w:type="dxa" w:w="893"/>
          </w:tcPr>
          <w:p>
            <w:pPr>
              <w:spacing w:after="20" w:before="20"/>
            </w:pPr>
            <w:r>
              <w:rPr>
                <w:sz w:val="16"/>
              </w:rPr>
              <w:t>Deal lead</w:t>
            </w:r>
          </w:p>
        </w:tc>
        <w:tc>
          <w:tcPr>
            <w:tcW w:type="dxa" w:w="691"/>
          </w:tcPr>
          <w:p>
            <w:pPr>
              <w:spacing w:after="20" w:before="20"/>
            </w:pPr>
            <w:r>
              <w:rPr>
                <w:sz w:val="16"/>
              </w:rPr>
              <w:t>Sep 18</w:t>
            </w:r>
          </w:p>
        </w:tc>
        <w:tc>
          <w:tcPr>
            <w:tcW w:type="dxa" w:w="3312"/>
          </w:tcPr>
          <w:p>
            <w:pPr>
              <w:spacing w:after="20" w:before="20"/>
            </w:pPr>
            <w:r>
              <w:rPr>
                <w:sz w:val="16"/>
              </w:rPr>
              <w:t>Not started. Most load-bearing number in the file.</w:t>
            </w:r>
          </w:p>
        </w:tc>
      </w:tr>
      <w:tr>
        <w:tc>
          <w:tcPr>
            <w:tcW w:type="dxa" w:w="4752"/>
          </w:tcPr>
          <w:p>
            <w:pPr>
              <w:spacing w:after="20" w:before="20"/>
            </w:pPr>
            <w:r>
              <w:rPr>
                <w:sz w:val="16"/>
              </w:rPr>
              <w:t>Order appraisal or pull land comparables to test the $145,000 per acre price</w:t>
            </w:r>
          </w:p>
        </w:tc>
        <w:tc>
          <w:tcPr>
            <w:tcW w:type="dxa" w:w="893"/>
          </w:tcPr>
          <w:p>
            <w:pPr>
              <w:spacing w:after="20" w:before="20"/>
            </w:pPr>
            <w:r>
              <w:rPr>
                <w:sz w:val="16"/>
              </w:rPr>
              <w:t>Deal lead</w:t>
            </w:r>
          </w:p>
        </w:tc>
        <w:tc>
          <w:tcPr>
            <w:tcW w:type="dxa" w:w="691"/>
          </w:tcPr>
          <w:p>
            <w:pPr>
              <w:spacing w:after="20" w:before="20"/>
            </w:pPr>
            <w:r>
              <w:rPr>
                <w:sz w:val="16"/>
              </w:rPr>
              <w:t>Sep 11</w:t>
            </w:r>
          </w:p>
        </w:tc>
        <w:tc>
          <w:tcPr>
            <w:tcW w:type="dxa" w:w="3312"/>
          </w:tcPr>
          <w:p>
            <w:pPr>
              <w:spacing w:after="20" w:before="20"/>
            </w:pPr>
            <w:r>
              <w:rPr>
                <w:sz w:val="16"/>
              </w:rPr>
              <w:t>Not started. Supports the repricing ask either way.</w:t>
            </w:r>
          </w:p>
        </w:tc>
      </w:tr>
    </w:tbl>
    <w:p>
      <w:pPr>
        <w:spacing w:after="60" w:before="140"/>
      </w:pPr>
      <w:r>
        <w:rPr>
          <w:b/>
          <w:color w:val="1F3864"/>
          <w:sz w:val="24"/>
        </w:rPr>
        <w:t>What would change the recommendation</w:t>
      </w:r>
    </w:p>
    <w:p>
      <w:pPr>
        <w:pStyle w:val="ListBullet"/>
        <w:spacing w:after="30"/>
      </w:pPr>
      <w:r>
        <w:rPr>
          <w:b w:val="0"/>
          <w:sz w:val="18"/>
        </w:rPr>
        <w:t>Direct vertical cost coming back above $110 per square foot.</w:t>
      </w:r>
    </w:p>
    <w:p>
      <w:pPr>
        <w:pStyle w:val="ListBullet"/>
        <w:spacing w:after="30"/>
      </w:pPr>
      <w:r>
        <w:rPr>
          <w:b w:val="0"/>
          <w:sz w:val="18"/>
        </w:rPr>
        <w:t>A geotechnical report requiring select fill or a foundation upgrade beyond the 8% contingency.</w:t>
      </w:r>
    </w:p>
    <w:p>
      <w:pPr>
        <w:pStyle w:val="ListBullet"/>
        <w:spacing w:after="30"/>
      </w:pPr>
      <w:r>
        <w:rPr>
          <w:b w:val="0"/>
          <w:sz w:val="18"/>
        </w:rPr>
        <w:t>Yield falling below 37 lots after detention and right-of-way.</w:t>
      </w:r>
    </w:p>
    <w:p>
      <w:pPr>
        <w:pStyle w:val="ListBullet"/>
        <w:spacing w:after="30"/>
      </w:pPr>
      <w:r>
        <w:rPr>
          <w:b w:val="0"/>
          <w:sz w:val="18"/>
        </w:rPr>
        <w:t>Absorption in the segment falling below 2.4 net sales per month before the community opens.</w:t>
      </w:r>
    </w:p>
    <w:p>
      <w:pPr>
        <w:pStyle w:val="ListBullet"/>
        <w:spacing w:after="30"/>
      </w:pPr>
      <w:r>
        <w:rPr>
          <w:b w:val="0"/>
          <w:sz w:val="18"/>
        </w:rPr>
        <w:t>The tested 55/70 advance-rate case, which pushes peak builder equity past $3.2M before the liquidity floor is added.</w:t>
      </w:r>
    </w:p>
    <w:p>
      <w:pPr>
        <w:pStyle w:val="ListBullet"/>
        <w:spacing w:after="30"/>
      </w:pPr>
      <w:r>
        <w:rPr>
          <w:b w:val="0"/>
          <w:sz w:val="18"/>
        </w:rPr>
        <w:t>The seller declining any price movement, which leaves the letter of intent above residual on both lot-width branches.</w:t>
      </w:r>
    </w:p>
    <w:p>
      <w:pPr>
        <w:spacing w:after="20" w:before="80"/>
      </w:pPr>
      <w:r>
        <w:rPr>
          <w:b w:val="0"/>
          <w:color w:val="595959"/>
          <w:sz w:val="15"/>
        </w:rPr>
        <w:t>Prepared for a live Atlas demonstration. Version 2 supersedes Version 1 of August 27, 2026. Sources: illustrative credit correspondence reviewed Aug 29, 2026; North_Dallas_Project_ProForma_v1.xlsx re-run at low-case and reduced-advance-rate settings; North_Dallas_Project_Assumptions_and_Sources.docx; North_Dallas_Detached_Product_Gap_Aug2026.xlsx (five-ZIP study area through July 2026); company work history reviewed Aug 29, 2026.</w:t>
      </w:r>
    </w:p>
    <w:sectPr w:rsidR="00FC693F" w:rsidRPr="0006063C" w:rsidSect="00034616">
      <w:pgSz w:w="12240" w:h="15840"/>
      <w:pgMar w:top="1008"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